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320426</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Remaining Discussion on RLM, BFD and CBD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8.7.2.3</w:t>
      </w:r>
      <w:bookmarkStart w:id="0" w:name="_GoBack"/>
      <w:bookmarkEnd w:id="0"/>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During last meeting, Some discussion were held around the enhancement of RLM, BFD/CBD for the UE capable of simultaneous multi-panel reception and the achieved agreements were captured in [2]. While still some issues are suspending, in this paper, we provide some further analysis on the remaining issues of RLM, BFD/CBD.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b/>
                <w:bCs/>
                <w:i/>
                <w:iCs/>
                <w:lang w:eastAsia="ko-KR"/>
              </w:rPr>
            </w:pPr>
            <w:r>
              <w:rPr>
                <w:b/>
                <w:color w:val="000000" w:themeColor="text1"/>
                <w:u w:val="single"/>
                <w:lang w:eastAsia="ko-KR"/>
                <w14:textFill>
                  <w14:solidFill>
                    <w14:schemeClr w14:val="tx1"/>
                  </w14:solidFill>
                </w14:textFill>
              </w:rPr>
              <w:t>Issue 2-1-5: Other aspects of RLM and cell specific BFD/CBD requirements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1a:</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without any clarification on multi-TRP operation.</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1b:</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of intra-cell mTRP, no need to give any clarification or assumption on whether the RLM-RS originated from two TRPs or not.</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1c:</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No need of additional clarification that RLM-RSes for evaluating out-of-sync and in-sync may originate from two different TRPs as RAN4 agreed to specify measurement restrictions.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rPr>
                <w:rFonts w:hint="eastAsia" w:eastAsia="宋体"/>
                <w:color w:val="auto"/>
                <w:sz w:val="20"/>
                <w:szCs w:val="20"/>
                <w:vertAlign w:val="baseline"/>
                <w:lang w:val="en-US" w:eastAsia="zh-CN"/>
              </w:rPr>
            </w:pPr>
            <w:r>
              <w:t>Capture in the RLM requirements that in m-DCI scenario, RLM RS during the evaluation period for out-of-sync and in-sync may originate from one or two TRPs</w:t>
            </w:r>
          </w:p>
          <w:p>
            <w:pPr>
              <w:keepNext w:val="0"/>
              <w:keepLines w:val="0"/>
              <w:pageBreakBefore w:val="0"/>
              <w:kinsoku/>
              <w:wordWrap/>
              <w:overflowPunct/>
              <w:topLinePunct w:val="0"/>
              <w:autoSpaceDE/>
              <w:autoSpaceDN/>
              <w:bidi w:val="0"/>
              <w:adjustRightInd/>
              <w:snapToGrid/>
              <w:textAlignment w:val="auto"/>
              <w:outlineLvl w:val="3"/>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2-2-1: Updated conditions for TRP specific BFD requirements enhancement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Both CSI-RSs are not in any CSI-RS resource set with repetition ON</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two CSI-RS resources in the two sets q ̅_0,0 and q ̅_0,1 for beam failure detection [and both PDSCHs] are overlapped on the same OFDM symbol.</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[The CSI-RS in set q ̅_0,0 has same QCL source as the active TCI state of one PDSCH, and the CSI-RS in set q ̅_0,1 has same QCL source as the active TCI state of the other PDSCH]</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Resources of the active TCI states for the two PDCCHs, or two PDSCHs have been reported as a resource group in Rel-17 group-based RSRP report.</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hint="eastAsia" w:eastAsia="宋体"/>
                <w:color w:val="auto"/>
                <w:sz w:val="20"/>
                <w:szCs w:val="20"/>
                <w:vertAlign w:val="baseline"/>
                <w:lang w:val="en-US" w:eastAsia="zh-CN"/>
              </w:rPr>
            </w:pPr>
            <w:r>
              <w:rPr>
                <w:rFonts w:eastAsia="宋体"/>
                <w:color w:val="000000" w:themeColor="text1"/>
                <w:szCs w:val="24"/>
                <w:lang w:eastAsia="zh-CN"/>
                <w14:textFill>
                  <w14:solidFill>
                    <w14:schemeClr w14:val="tx1"/>
                  </w14:solidFill>
                </w14:textFill>
              </w:rPr>
              <w:t>[FFS how to capture UE is activated with multi-Rx operation]</w:t>
            </w:r>
          </w:p>
        </w:tc>
      </w:tr>
    </w:tbl>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bidi w:val="0"/>
        <w:rPr>
          <w:rFonts w:hint="eastAsia"/>
          <w:lang w:val="en-US" w:eastAsia="zh-CN"/>
        </w:rPr>
      </w:pPr>
      <w:r>
        <w:rPr>
          <w:rFonts w:hint="eastAsia"/>
          <w:lang w:val="en-US" w:eastAsia="zh-CN"/>
        </w:rPr>
        <w:t>Regarding RLM/BFD/CBD, until last meeting, good progress have been achieved. We summarize the enhancement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7"/>
        <w:gridCol w:w="1175"/>
        <w:gridCol w:w="2914"/>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tcPr>
          <w:p>
            <w:pPr>
              <w:bidi w:val="0"/>
              <w:jc w:val="center"/>
              <w:rPr>
                <w:rFonts w:hint="default"/>
                <w:sz w:val="15"/>
                <w:szCs w:val="15"/>
                <w:vertAlign w:val="baseline"/>
                <w:lang w:val="en-US" w:eastAsia="zh-CN"/>
              </w:rPr>
            </w:pPr>
            <w:r>
              <w:rPr>
                <w:rFonts w:hint="eastAsia"/>
                <w:sz w:val="15"/>
                <w:szCs w:val="15"/>
                <w:vertAlign w:val="baseline"/>
                <w:lang w:val="en-US" w:eastAsia="zh-CN"/>
              </w:rPr>
              <w:t>Type</w:t>
            </w:r>
          </w:p>
        </w:tc>
        <w:tc>
          <w:tcPr>
            <w:tcW w:w="1175"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Rx beam sweeping</w:t>
            </w:r>
          </w:p>
        </w:tc>
        <w:tc>
          <w:tcPr>
            <w:tcW w:w="2914" w:type="dxa"/>
          </w:tcPr>
          <w:p>
            <w:pPr>
              <w:bidi w:val="0"/>
              <w:jc w:val="center"/>
              <w:rPr>
                <w:rFonts w:hint="default"/>
                <w:sz w:val="15"/>
                <w:szCs w:val="15"/>
                <w:vertAlign w:val="baseline"/>
                <w:lang w:val="en-US" w:eastAsia="zh-CN"/>
              </w:rPr>
            </w:pPr>
            <w:r>
              <w:rPr>
                <w:rFonts w:hint="eastAsia"/>
                <w:sz w:val="15"/>
                <w:szCs w:val="15"/>
                <w:vertAlign w:val="baseline"/>
                <w:lang w:val="en-US" w:eastAsia="zh-CN"/>
              </w:rPr>
              <w:t>Legacy P</w:t>
            </w:r>
            <w:r>
              <w:rPr>
                <w:rFonts w:hint="eastAsia"/>
                <w:sz w:val="10"/>
                <w:szCs w:val="10"/>
                <w:vertAlign w:val="baseline"/>
                <w:lang w:val="en-US" w:eastAsia="zh-CN"/>
              </w:rPr>
              <w:t>TRP</w:t>
            </w:r>
          </w:p>
        </w:tc>
        <w:tc>
          <w:tcPr>
            <w:tcW w:w="3217" w:type="dxa"/>
          </w:tcPr>
          <w:p>
            <w:pPr>
              <w:bidi w:val="0"/>
              <w:jc w:val="center"/>
              <w:rPr>
                <w:rFonts w:hint="default"/>
                <w:sz w:val="15"/>
                <w:szCs w:val="15"/>
                <w:vertAlign w:val="baseline"/>
                <w:lang w:val="en-US" w:eastAsia="zh-CN"/>
              </w:rPr>
            </w:pPr>
            <w:r>
              <w:rPr>
                <w:rFonts w:hint="eastAsia"/>
                <w:sz w:val="15"/>
                <w:szCs w:val="15"/>
                <w:vertAlign w:val="baseline"/>
                <w:lang w:val="en-US" w:eastAsia="zh-CN"/>
              </w:rPr>
              <w:t>Enhancements by Multi-Rx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5"/>
              </w:numPr>
              <w:spacing w:after="0" w:line="240" w:lineRule="auto"/>
              <w:rPr>
                <w:rFonts w:hint="eastAsia"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5"/>
              </w:numPr>
              <w:spacing w:after="0" w:line="240" w:lineRule="auto"/>
              <w:ind w:left="0" w:leftChars="0" w:firstLine="0" w:firstLineChars="0"/>
              <w:rPr>
                <w:rFonts w:hint="default"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RLM</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6"/>
              </w:numPr>
              <w:spacing w:after="0" w:line="240" w:lineRule="auto"/>
              <w:rPr>
                <w:rFonts w:hint="default"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7"/>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Apply faster beam sweeping</w:t>
            </w:r>
          </w:p>
          <w:p>
            <w:pPr>
              <w:numPr>
                <w:ilvl w:val="0"/>
                <w:numId w:val="7"/>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numPr>
                <w:ilvl w:val="0"/>
                <w:numId w:val="8"/>
              </w:num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Apple measurement restriction relaxation 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SSB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 xml:space="preserve">CSI-RS </w:t>
            </w:r>
            <w:r>
              <w:rPr>
                <w:rFonts w:hint="eastAsia" w:cs="Times New Roman"/>
                <w:sz w:val="15"/>
                <w:szCs w:val="15"/>
                <w:lang w:val="en-US" w:eastAsia="zh-CN"/>
              </w:rPr>
              <w:t>CBD</w:t>
            </w:r>
            <w:r>
              <w:rPr>
                <w:rFonts w:cs="Times New Roman"/>
                <w:sz w:val="15"/>
                <w:szCs w:val="15"/>
              </w:rPr>
              <w:t>, cell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eastAsia" w:eastAsia="宋体" w:cs="Times New Roman"/>
                <w:sz w:val="15"/>
                <w:szCs w:val="15"/>
                <w:lang w:val="en-US" w:eastAsia="zh-CN"/>
              </w:rPr>
            </w:pPr>
            <w:r>
              <w:rPr>
                <w:rFonts w:hint="eastAsia" w:eastAsia="宋体" w:cs="Times New Roman"/>
                <w:sz w:val="15"/>
                <w:szCs w:val="15"/>
                <w:lang w:val="en-US" w:eastAsia="zh-CN"/>
              </w:rPr>
              <w:t>/</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hint="default" w:cs="Times New Roman"/>
                <w:sz w:val="15"/>
                <w:szCs w:val="15"/>
                <w:lang w:val="en-US"/>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BFD,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N=1</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numPr>
                <w:ilvl w:val="0"/>
                <w:numId w:val="9"/>
              </w:numPr>
              <w:spacing w:after="0" w:line="240" w:lineRule="auto"/>
              <w:rPr>
                <w:rFonts w:hint="default" w:ascii="Times New Roman" w:hAnsi="Times New Roman" w:eastAsia="Times New Roman" w:cs="Times New Roman"/>
                <w:sz w:val="15"/>
                <w:szCs w:val="15"/>
                <w:lang w:val="en-US" w:eastAsia="zh-CN" w:bidi="ar-SA"/>
              </w:rPr>
            </w:pPr>
            <w:r>
              <w:rPr>
                <w:rFonts w:hint="eastAsia"/>
                <w:sz w:val="15"/>
                <w:szCs w:val="15"/>
                <w:vertAlign w:val="baseline"/>
                <w:lang w:val="en-US" w:eastAsia="zh-CN"/>
              </w:rPr>
              <w:t>P</w:t>
            </w:r>
            <w:r>
              <w:rPr>
                <w:rFonts w:hint="eastAsia"/>
                <w:sz w:val="10"/>
                <w:szCs w:val="10"/>
                <w:vertAlign w:val="baseline"/>
                <w:lang w:val="en-US" w:eastAsia="zh-CN"/>
              </w:rPr>
              <w:t>TRP</w:t>
            </w:r>
            <w:r>
              <w:rPr>
                <w:rFonts w:hint="eastAsia" w:eastAsia="宋体" w:cs="Times New Roman"/>
                <w:sz w:val="15"/>
                <w:szCs w:val="15"/>
                <w:lang w:val="en-US" w:eastAsia="zh-CN"/>
              </w:rPr>
              <w:t xml:space="preserve"> reduction when RSs overlapping </w:t>
            </w:r>
            <w:r>
              <w:rPr>
                <w:rFonts w:hint="eastAsia" w:cs="Times New Roman"/>
                <w:sz w:val="15"/>
                <w:szCs w:val="15"/>
                <w:lang w:val="en-US" w:eastAsia="zh-CN" w:bidi="ar-SA"/>
              </w:rPr>
              <w:t>given condition met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SSB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7" w:type="dxa"/>
            <w:vAlign w:val="top"/>
          </w:tcPr>
          <w:p>
            <w:pPr>
              <w:spacing w:after="0" w:line="240" w:lineRule="auto"/>
              <w:jc w:val="left"/>
              <w:rPr>
                <w:rFonts w:hint="eastAsia" w:ascii="Times New Roman" w:hAnsi="Times New Roman" w:eastAsia="Times New Roman" w:cs="Times New Roman"/>
                <w:sz w:val="15"/>
                <w:szCs w:val="15"/>
                <w:lang w:val="en-US" w:eastAsia="zh-CN" w:bidi="ar-SA"/>
              </w:rPr>
            </w:pPr>
            <w:r>
              <w:rPr>
                <w:rFonts w:cs="Times New Roman"/>
                <w:sz w:val="15"/>
                <w:szCs w:val="15"/>
              </w:rPr>
              <w:t>CSI-RS CBD, TRP specific</w:t>
            </w:r>
          </w:p>
        </w:tc>
        <w:tc>
          <w:tcPr>
            <w:tcW w:w="1175"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cs="Times New Roman"/>
                <w:sz w:val="15"/>
                <w:szCs w:val="15"/>
              </w:rPr>
              <w:t>N=8</w:t>
            </w:r>
          </w:p>
        </w:tc>
        <w:tc>
          <w:tcPr>
            <w:tcW w:w="2914" w:type="dxa"/>
            <w:vAlign w:val="top"/>
          </w:tcPr>
          <w:p>
            <w:pPr>
              <w:spacing w:after="0" w:line="240" w:lineRule="auto"/>
              <w:rPr>
                <w:rFonts w:cs="Times New Roman"/>
                <w:sz w:val="15"/>
                <w:szCs w:val="15"/>
              </w:rPr>
            </w:pPr>
            <w:r>
              <w:rPr>
                <w:rFonts w:hint="eastAsia"/>
                <w:sz w:val="15"/>
                <w:szCs w:val="15"/>
                <w:vertAlign w:val="baseline"/>
                <w:lang w:val="en-US" w:eastAsia="zh-CN"/>
              </w:rPr>
              <w:t>P</w:t>
            </w:r>
            <w:r>
              <w:rPr>
                <w:rFonts w:hint="eastAsia"/>
                <w:sz w:val="10"/>
                <w:szCs w:val="10"/>
                <w:vertAlign w:val="baseline"/>
                <w:lang w:val="en-US" w:eastAsia="zh-CN"/>
              </w:rPr>
              <w:t>TRP</w:t>
            </w:r>
            <w:r>
              <w:rPr>
                <w:rFonts w:cs="Times New Roman"/>
                <w:sz w:val="15"/>
                <w:szCs w:val="15"/>
              </w:rPr>
              <w:t>=</w:t>
            </w:r>
            <w:r>
              <w:rPr>
                <w:rFonts w:hint="eastAsia" w:eastAsia="宋体" w:cs="Times New Roman"/>
                <w:sz w:val="15"/>
                <w:szCs w:val="15"/>
                <w:lang w:val="en-US" w:eastAsia="zh-CN"/>
              </w:rPr>
              <w:t>2 if</w:t>
            </w:r>
            <w:r>
              <w:rPr>
                <w:rFonts w:hint="eastAsia"/>
                <w:sz w:val="10"/>
                <w:szCs w:val="10"/>
                <w:vertAlign w:val="baseline"/>
                <w:lang w:val="en-US" w:eastAsia="zh-CN"/>
              </w:rPr>
              <w:t xml:space="preserve"> </w:t>
            </w:r>
            <w:r>
              <w:rPr>
                <w:rFonts w:hint="eastAsia" w:eastAsia="宋体" w:cs="Times New Roman"/>
                <w:sz w:val="15"/>
                <w:szCs w:val="15"/>
                <w:lang w:val="en-US" w:eastAsia="zh-CN"/>
              </w:rPr>
              <w:t>RS in two sets overlapped, else = 1</w:t>
            </w:r>
          </w:p>
        </w:tc>
        <w:tc>
          <w:tcPr>
            <w:tcW w:w="3217" w:type="dxa"/>
            <w:vAlign w:val="top"/>
          </w:tcPr>
          <w:p>
            <w:pPr>
              <w:spacing w:after="0" w:line="240" w:lineRule="auto"/>
              <w:rPr>
                <w:rFonts w:hint="eastAsia" w:ascii="Times New Roman" w:hAnsi="Times New Roman" w:eastAsia="Times New Roman" w:cs="Times New Roman"/>
                <w:sz w:val="15"/>
                <w:szCs w:val="15"/>
                <w:lang w:val="en-US" w:eastAsia="zh-CN" w:bidi="ar-SA"/>
              </w:rPr>
            </w:pPr>
            <w:r>
              <w:rPr>
                <w:rFonts w:hint="eastAsia" w:cs="Times New Roman"/>
                <w:sz w:val="15"/>
                <w:szCs w:val="15"/>
                <w:lang w:val="en-US" w:eastAsia="zh-CN" w:bidi="ar-SA"/>
              </w:rPr>
              <w:t>No enhancement</w:t>
            </w:r>
          </w:p>
        </w:tc>
      </w:tr>
    </w:tbl>
    <w:p>
      <w:pPr>
        <w:bidi w:val="0"/>
        <w:rPr>
          <w:rFonts w:hint="eastAsia"/>
          <w:lang w:val="en-US" w:eastAsia="zh-CN"/>
        </w:rPr>
      </w:pPr>
      <w:r>
        <w:rPr>
          <w:rFonts w:hint="eastAsia"/>
          <w:lang w:val="en-US" w:eastAsia="zh-CN"/>
        </w:rPr>
        <w:t>So only one remaining issue is left regarding the sDCI/mDCI:</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kinsoku/>
              <w:wordWrap/>
              <w:overflowPunct/>
              <w:topLinePunct w:val="0"/>
              <w:autoSpaceDE/>
              <w:autoSpaceDN/>
              <w:bidi w:val="0"/>
              <w:adjustRightInd/>
              <w:snapToGrid/>
              <w:textAlignment w:val="auto"/>
              <w:rPr>
                <w:rFonts w:hint="default"/>
                <w:vertAlign w:val="baseline"/>
                <w:lang w:val="en-US" w:eastAsia="zh-CN"/>
              </w:rPr>
            </w:pPr>
            <w:r>
              <w:rPr>
                <w:b/>
                <w:color w:val="auto"/>
                <w:u w:val="single"/>
                <w:lang w:eastAsia="ko-KR"/>
              </w:rPr>
              <w:t>Other aspects of RLM and cell specific BFD/CBD requirements for multi-Rx</w:t>
            </w:r>
          </w:p>
          <w:p>
            <w:pPr>
              <w:pStyle w:val="28"/>
              <w:keepNext w:val="0"/>
              <w:keepLines w:val="0"/>
              <w:pageBreakBefore w:val="0"/>
              <w:numPr>
                <w:ilvl w:val="0"/>
                <w:numId w:val="3"/>
              </w:numPr>
              <w:kinsoku/>
              <w:wordWrap/>
              <w:overflowPunct/>
              <w:topLinePunct w:val="0"/>
              <w:autoSpaceDE/>
              <w:autoSpaceDN/>
              <w:bidi w:val="0"/>
              <w:adjustRightInd/>
              <w:snapToGrid/>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FFS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1a:</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without any clarification on multi-TRP operation.</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1b:</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of intra-cell mTRP, no need to give any clarification or assumption on whether the RLM-RS originated from two TRPs or not.</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1c:</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pPr>
            <w:r>
              <w:t>For m-DCI scenario, reuse RLM requirements in section 8.1 of TS 38.133. No need of additional clarification that RLM-RSes for evaluating out-of-sync and in-sync may originate from two different TRPs as RAN4 agreed to specify measurement restrictions.</w:t>
            </w:r>
          </w:p>
          <w:p>
            <w:pPr>
              <w:pStyle w:val="28"/>
              <w:keepNext w:val="0"/>
              <w:keepLines w:val="0"/>
              <w:pageBreakBefore w:val="0"/>
              <w:numPr>
                <w:ilvl w:val="1"/>
                <w:numId w:val="3"/>
              </w:numPr>
              <w:kinsoku/>
              <w:wordWrap/>
              <w:overflowPunct/>
              <w:topLinePunct w:val="0"/>
              <w:autoSpaceDE/>
              <w:autoSpaceDN/>
              <w:bidi w:val="0"/>
              <w:adjustRightInd/>
              <w:snapToGrid/>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w:t>
            </w:r>
          </w:p>
          <w:p>
            <w:pPr>
              <w:pStyle w:val="28"/>
              <w:keepNext w:val="0"/>
              <w:keepLines w:val="0"/>
              <w:pageBreakBefore w:val="0"/>
              <w:numPr>
                <w:ilvl w:val="2"/>
                <w:numId w:val="3"/>
              </w:numPr>
              <w:kinsoku/>
              <w:wordWrap/>
              <w:overflowPunct/>
              <w:topLinePunct w:val="0"/>
              <w:autoSpaceDE/>
              <w:autoSpaceDN/>
              <w:bidi w:val="0"/>
              <w:adjustRightInd/>
              <w:snapToGrid/>
              <w:ind w:firstLineChars="0"/>
              <w:jc w:val="both"/>
              <w:textAlignment w:val="auto"/>
              <w:rPr>
                <w:rFonts w:hint="default"/>
                <w:vertAlign w:val="baseline"/>
                <w:lang w:val="en-US" w:eastAsia="zh-CN"/>
              </w:rPr>
            </w:pPr>
            <w:r>
              <w:t>Capture in the RLM requirements that in m-DCI scenario, RLM RS during the evaluation period for out-of-sync and in-sync may originate from one or two TRPs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legacy R16/17, only cell-specific RLM is defined, no extension to TRP-specific RLM. So to our understanding, no matter sDCI or mDCI transmitted, only one RS set is configured for RLM for a cell. In the case of intra-cell mTRP, from the perspective of UE, each RS resource within the RS set for RLM transmitted from which TRP, it is transparent to UE, NW decides this. Normally for m-DCI scenario, for the sake of monitoring each TRPs within the cell considering, partial RS resources would be originated from TRP 0, and the rest RS resources would be originated from TRP 1. So that the link of both two TRPs can be monitored by the UE. Whereas there is not any relevant restriction captured in RAN1/2 spec. If the NW believes the link quality from each TRP to the UE are similar, or the link quality between one of the TRPs and the UE can be inferred though some other solutions, the case of originating all RLM-RSs from one of the TRPs is also possible. So we can leave the relationship between the RLM-RS resources and the multiple TRPs to NW decision. No need to give additional clarification or assumption in RAN4 spec.  </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RLM, BFD/CBD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default"/>
          <w:lang w:val="en-US" w:eastAsia="zh-CN"/>
        </w:rPr>
      </w:pPr>
      <w:r>
        <w:rPr>
          <w:rFonts w:hint="eastAsia" w:eastAsia="宋体" w:cs="Times New Roman"/>
          <w:b/>
          <w:bCs/>
          <w:color w:val="auto"/>
          <w:sz w:val="20"/>
          <w:szCs w:val="20"/>
          <w:highlight w:val="none"/>
          <w:lang w:val="en-US" w:eastAsia="zh-CN" w:bidi="ar-SA"/>
        </w:rPr>
        <w:t>Proposal 1: For mDCI scenario of intra-cell mTRP, no need to give any clarification or assumption on whether the RLM-RS originated from two TRPs or not.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Chars="0"/>
        <w:rPr>
          <w:rFonts w:hint="eastAsia"/>
          <w:color w:val="auto"/>
          <w:highlight w:val="none"/>
          <w:lang w:val="en-US" w:eastAsia="zh-CN"/>
        </w:rPr>
      </w:pPr>
      <w:r>
        <w:rPr>
          <w:rFonts w:hint="eastAsia"/>
          <w:color w:val="auto"/>
          <w:highlight w:val="none"/>
          <w:lang w:val="en-US" w:eastAsia="zh-CN"/>
        </w:rPr>
        <w:t xml:space="preserve">R4-2317332 </w:t>
      </w:r>
      <w:r>
        <w:rPr>
          <w:rFonts w:hint="default"/>
          <w:color w:val="auto"/>
          <w:highlight w:val="none"/>
          <w:lang w:val="en-US" w:eastAsia="zh-CN"/>
        </w:rPr>
        <w:t>“</w:t>
      </w:r>
      <w:r>
        <w:rPr>
          <w:rFonts w:hint="eastAsia"/>
          <w:color w:val="auto"/>
          <w:highlight w:val="none"/>
          <w:lang w:val="en-US" w:eastAsia="zh-CN"/>
        </w:rPr>
        <w:t>WF on NR FR2 multi-Rx chain DL reception RRM requirements (part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ACB7DB4E"/>
    <w:multiLevelType w:val="singleLevel"/>
    <w:tmpl w:val="ACB7DB4E"/>
    <w:lvl w:ilvl="0" w:tentative="0">
      <w:start w:val="1"/>
      <w:numFmt w:val="decimal"/>
      <w:suff w:val="space"/>
      <w:lvlText w:val="%1)"/>
      <w:lvlJc w:val="left"/>
    </w:lvl>
  </w:abstractNum>
  <w:abstractNum w:abstractNumId="2">
    <w:nsid w:val="E5955D4D"/>
    <w:multiLevelType w:val="singleLevel"/>
    <w:tmpl w:val="E5955D4D"/>
    <w:lvl w:ilvl="0" w:tentative="0">
      <w:start w:val="1"/>
      <w:numFmt w:val="decimal"/>
      <w:suff w:val="space"/>
      <w:lvlText w:val="%1)"/>
      <w:lvlJc w:val="left"/>
    </w:lvl>
  </w:abstractNum>
  <w:abstractNum w:abstractNumId="3">
    <w:nsid w:val="04494208"/>
    <w:multiLevelType w:val="singleLevel"/>
    <w:tmpl w:val="04494208"/>
    <w:lvl w:ilvl="0" w:tentative="0">
      <w:start w:val="1"/>
      <w:numFmt w:val="decimal"/>
      <w:suff w:val="space"/>
      <w:lvlText w:val="%1)"/>
      <w:lvlJc w:val="left"/>
    </w:lvl>
  </w:abstractNum>
  <w:abstractNum w:abstractNumId="4">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221558BE"/>
    <w:multiLevelType w:val="singleLevel"/>
    <w:tmpl w:val="221558BE"/>
    <w:lvl w:ilvl="0" w:tentative="0">
      <w:start w:val="1"/>
      <w:numFmt w:val="decimal"/>
      <w:suff w:val="space"/>
      <w:lvlText w:val="%1)"/>
      <w:lvlJc w:val="left"/>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82C0F5E"/>
    <w:multiLevelType w:val="singleLevel"/>
    <w:tmpl w:val="582C0F5E"/>
    <w:lvl w:ilvl="0" w:tentative="0">
      <w:start w:val="1"/>
      <w:numFmt w:val="decimal"/>
      <w:suff w:val="space"/>
      <w:lvlText w:val="%1)"/>
      <w:lvlJc w:val="left"/>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8"/>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8"/>
  </w:num>
  <w:num w:numId="4">
    <w:abstractNumId w:val="4"/>
  </w:num>
  <w:num w:numId="5">
    <w:abstractNumId w:val="3"/>
  </w:num>
  <w:num w:numId="6">
    <w:abstractNumId w:val="5"/>
  </w:num>
  <w:num w:numId="7">
    <w:abstractNumId w:val="1"/>
  </w:num>
  <w:num w:numId="8">
    <w:abstractNumId w:val="7"/>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AB1C95"/>
    <w:rsid w:val="01F87456"/>
    <w:rsid w:val="02122247"/>
    <w:rsid w:val="02150C3F"/>
    <w:rsid w:val="022C3A09"/>
    <w:rsid w:val="028B6A1D"/>
    <w:rsid w:val="028F1C3E"/>
    <w:rsid w:val="037D0CB3"/>
    <w:rsid w:val="03AB21AA"/>
    <w:rsid w:val="03D4720A"/>
    <w:rsid w:val="03E04DEA"/>
    <w:rsid w:val="04151694"/>
    <w:rsid w:val="04654053"/>
    <w:rsid w:val="04793516"/>
    <w:rsid w:val="047A3CFF"/>
    <w:rsid w:val="04885243"/>
    <w:rsid w:val="05317828"/>
    <w:rsid w:val="05477E90"/>
    <w:rsid w:val="059B5F9B"/>
    <w:rsid w:val="05BB5AB9"/>
    <w:rsid w:val="05C42923"/>
    <w:rsid w:val="05F562DB"/>
    <w:rsid w:val="0611163E"/>
    <w:rsid w:val="064D7C1A"/>
    <w:rsid w:val="068411C2"/>
    <w:rsid w:val="06963BA6"/>
    <w:rsid w:val="06965F3C"/>
    <w:rsid w:val="07CD3CDD"/>
    <w:rsid w:val="084B363C"/>
    <w:rsid w:val="0855671D"/>
    <w:rsid w:val="089009EB"/>
    <w:rsid w:val="09716BCA"/>
    <w:rsid w:val="098C1CEA"/>
    <w:rsid w:val="09902DFD"/>
    <w:rsid w:val="09D64B23"/>
    <w:rsid w:val="09E644B8"/>
    <w:rsid w:val="0B12013A"/>
    <w:rsid w:val="0B180D3D"/>
    <w:rsid w:val="0B1C5C6A"/>
    <w:rsid w:val="0B243EFB"/>
    <w:rsid w:val="0B3D3C2F"/>
    <w:rsid w:val="0B5D15B4"/>
    <w:rsid w:val="0B635839"/>
    <w:rsid w:val="0BAC06FA"/>
    <w:rsid w:val="0BB0429A"/>
    <w:rsid w:val="0BFF5FC6"/>
    <w:rsid w:val="0C276675"/>
    <w:rsid w:val="0C394019"/>
    <w:rsid w:val="0C5D15E1"/>
    <w:rsid w:val="0D2538B5"/>
    <w:rsid w:val="0EC91588"/>
    <w:rsid w:val="0F6C0B73"/>
    <w:rsid w:val="0F8009F9"/>
    <w:rsid w:val="1093739F"/>
    <w:rsid w:val="10997F43"/>
    <w:rsid w:val="10DE7BAE"/>
    <w:rsid w:val="11023BFD"/>
    <w:rsid w:val="110404BB"/>
    <w:rsid w:val="111C20F6"/>
    <w:rsid w:val="11ED345F"/>
    <w:rsid w:val="11FC305B"/>
    <w:rsid w:val="120774A3"/>
    <w:rsid w:val="12580C13"/>
    <w:rsid w:val="130B3696"/>
    <w:rsid w:val="14006D19"/>
    <w:rsid w:val="1414436B"/>
    <w:rsid w:val="1481754F"/>
    <w:rsid w:val="148F5721"/>
    <w:rsid w:val="14AC57CD"/>
    <w:rsid w:val="14B14D17"/>
    <w:rsid w:val="14F02E19"/>
    <w:rsid w:val="15E1212F"/>
    <w:rsid w:val="15ED3E9B"/>
    <w:rsid w:val="15FD475B"/>
    <w:rsid w:val="164514BE"/>
    <w:rsid w:val="170F06AA"/>
    <w:rsid w:val="17225508"/>
    <w:rsid w:val="176C2D6D"/>
    <w:rsid w:val="180A6E32"/>
    <w:rsid w:val="183F2CD2"/>
    <w:rsid w:val="1856323E"/>
    <w:rsid w:val="18AF55E3"/>
    <w:rsid w:val="18B1519A"/>
    <w:rsid w:val="18CD0507"/>
    <w:rsid w:val="195D7D48"/>
    <w:rsid w:val="19852D03"/>
    <w:rsid w:val="19915A0D"/>
    <w:rsid w:val="19ED20B7"/>
    <w:rsid w:val="1A6F1A83"/>
    <w:rsid w:val="1AD01A1B"/>
    <w:rsid w:val="1B4C5221"/>
    <w:rsid w:val="1B61065A"/>
    <w:rsid w:val="1BBF3927"/>
    <w:rsid w:val="1C177B08"/>
    <w:rsid w:val="1C9001C6"/>
    <w:rsid w:val="1CBA2101"/>
    <w:rsid w:val="1D0573D7"/>
    <w:rsid w:val="1D153DC4"/>
    <w:rsid w:val="1D223E0B"/>
    <w:rsid w:val="1D3A54CD"/>
    <w:rsid w:val="1DB321FB"/>
    <w:rsid w:val="1DF33EB1"/>
    <w:rsid w:val="1E132F88"/>
    <w:rsid w:val="1E2867E9"/>
    <w:rsid w:val="1E853F6F"/>
    <w:rsid w:val="1E9C7BCC"/>
    <w:rsid w:val="1EC8648D"/>
    <w:rsid w:val="1ECC1E3C"/>
    <w:rsid w:val="1F056338"/>
    <w:rsid w:val="1FAE57D9"/>
    <w:rsid w:val="1FFD4083"/>
    <w:rsid w:val="20122D1B"/>
    <w:rsid w:val="202F3D4C"/>
    <w:rsid w:val="20E2786E"/>
    <w:rsid w:val="21014C39"/>
    <w:rsid w:val="21045DF0"/>
    <w:rsid w:val="21244EB1"/>
    <w:rsid w:val="213964D8"/>
    <w:rsid w:val="21595D04"/>
    <w:rsid w:val="21835807"/>
    <w:rsid w:val="21F13629"/>
    <w:rsid w:val="2305377E"/>
    <w:rsid w:val="23184B10"/>
    <w:rsid w:val="231A76D5"/>
    <w:rsid w:val="23BE460D"/>
    <w:rsid w:val="24122135"/>
    <w:rsid w:val="24D4257E"/>
    <w:rsid w:val="24F5519F"/>
    <w:rsid w:val="2572202B"/>
    <w:rsid w:val="25AE612B"/>
    <w:rsid w:val="2605683C"/>
    <w:rsid w:val="265F2C81"/>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D452F54"/>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4768A"/>
    <w:rsid w:val="358E5935"/>
    <w:rsid w:val="35B06C6A"/>
    <w:rsid w:val="36941AA2"/>
    <w:rsid w:val="36D37423"/>
    <w:rsid w:val="37323407"/>
    <w:rsid w:val="3792754D"/>
    <w:rsid w:val="379D23F9"/>
    <w:rsid w:val="37B3111D"/>
    <w:rsid w:val="37E74183"/>
    <w:rsid w:val="3A185287"/>
    <w:rsid w:val="3A1F46B8"/>
    <w:rsid w:val="3A692CD0"/>
    <w:rsid w:val="3AD96376"/>
    <w:rsid w:val="3B0B5FA6"/>
    <w:rsid w:val="3B1210C9"/>
    <w:rsid w:val="3B270929"/>
    <w:rsid w:val="3B3D5571"/>
    <w:rsid w:val="3B5D276F"/>
    <w:rsid w:val="3B673620"/>
    <w:rsid w:val="3B9A1F29"/>
    <w:rsid w:val="3C6E1F42"/>
    <w:rsid w:val="3CB972C3"/>
    <w:rsid w:val="3CE4646B"/>
    <w:rsid w:val="3D5E7AA8"/>
    <w:rsid w:val="3D6F2596"/>
    <w:rsid w:val="3F5E503E"/>
    <w:rsid w:val="3F62033F"/>
    <w:rsid w:val="401A457A"/>
    <w:rsid w:val="405F175E"/>
    <w:rsid w:val="40737877"/>
    <w:rsid w:val="40A811A8"/>
    <w:rsid w:val="40C765F3"/>
    <w:rsid w:val="41C755BE"/>
    <w:rsid w:val="42424160"/>
    <w:rsid w:val="42B16B47"/>
    <w:rsid w:val="42EA1DDB"/>
    <w:rsid w:val="42F869D2"/>
    <w:rsid w:val="43553536"/>
    <w:rsid w:val="444E111A"/>
    <w:rsid w:val="44972678"/>
    <w:rsid w:val="44C465F8"/>
    <w:rsid w:val="451632B9"/>
    <w:rsid w:val="45906394"/>
    <w:rsid w:val="45D40A2F"/>
    <w:rsid w:val="45F60A50"/>
    <w:rsid w:val="46142D0C"/>
    <w:rsid w:val="463A5AC1"/>
    <w:rsid w:val="46970A81"/>
    <w:rsid w:val="46B036BF"/>
    <w:rsid w:val="47282363"/>
    <w:rsid w:val="476B3528"/>
    <w:rsid w:val="47C726B0"/>
    <w:rsid w:val="490A77CA"/>
    <w:rsid w:val="49DC4EAC"/>
    <w:rsid w:val="49E55BC5"/>
    <w:rsid w:val="4AAF3847"/>
    <w:rsid w:val="4AFE1D19"/>
    <w:rsid w:val="4C1C63D6"/>
    <w:rsid w:val="4C864A35"/>
    <w:rsid w:val="4E015C76"/>
    <w:rsid w:val="4E310026"/>
    <w:rsid w:val="4E3448DA"/>
    <w:rsid w:val="4E4A2325"/>
    <w:rsid w:val="4E702749"/>
    <w:rsid w:val="4EC85323"/>
    <w:rsid w:val="4EDB3464"/>
    <w:rsid w:val="4FD47992"/>
    <w:rsid w:val="501A6C55"/>
    <w:rsid w:val="51234069"/>
    <w:rsid w:val="51B14BED"/>
    <w:rsid w:val="52123F2A"/>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6C72241"/>
    <w:rsid w:val="574B3EB2"/>
    <w:rsid w:val="57995B9F"/>
    <w:rsid w:val="57B35413"/>
    <w:rsid w:val="58D0053D"/>
    <w:rsid w:val="59064002"/>
    <w:rsid w:val="595006D6"/>
    <w:rsid w:val="598C40A0"/>
    <w:rsid w:val="59B61150"/>
    <w:rsid w:val="59DA647E"/>
    <w:rsid w:val="5A556E1A"/>
    <w:rsid w:val="5C1166E3"/>
    <w:rsid w:val="5C9303D3"/>
    <w:rsid w:val="5E2864D0"/>
    <w:rsid w:val="5E494511"/>
    <w:rsid w:val="5E7C620B"/>
    <w:rsid w:val="5EB44FC0"/>
    <w:rsid w:val="5EB81F13"/>
    <w:rsid w:val="5EDA64BC"/>
    <w:rsid w:val="5FBA395F"/>
    <w:rsid w:val="60B92183"/>
    <w:rsid w:val="60EC2CBA"/>
    <w:rsid w:val="61333986"/>
    <w:rsid w:val="61661B78"/>
    <w:rsid w:val="61CC2D28"/>
    <w:rsid w:val="62966A9E"/>
    <w:rsid w:val="62DE3B93"/>
    <w:rsid w:val="630C63B9"/>
    <w:rsid w:val="63454F29"/>
    <w:rsid w:val="635902CD"/>
    <w:rsid w:val="642A3E76"/>
    <w:rsid w:val="645E1DDB"/>
    <w:rsid w:val="64706BBE"/>
    <w:rsid w:val="64994B22"/>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2764B6"/>
    <w:rsid w:val="6A5D78D5"/>
    <w:rsid w:val="6A85354A"/>
    <w:rsid w:val="6C8E0C06"/>
    <w:rsid w:val="6D566F0F"/>
    <w:rsid w:val="6D836F72"/>
    <w:rsid w:val="6DC2026F"/>
    <w:rsid w:val="6DDE3DAF"/>
    <w:rsid w:val="6E281030"/>
    <w:rsid w:val="6E2C7D5B"/>
    <w:rsid w:val="6E3241BE"/>
    <w:rsid w:val="6EB0655E"/>
    <w:rsid w:val="6EB97A9D"/>
    <w:rsid w:val="6EF10A90"/>
    <w:rsid w:val="6EF62474"/>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4BE645E"/>
    <w:rsid w:val="753811DE"/>
    <w:rsid w:val="7566040A"/>
    <w:rsid w:val="757733D9"/>
    <w:rsid w:val="75A7114C"/>
    <w:rsid w:val="75BE67D4"/>
    <w:rsid w:val="75C2004C"/>
    <w:rsid w:val="75C759C1"/>
    <w:rsid w:val="760F5DAE"/>
    <w:rsid w:val="762D64F3"/>
    <w:rsid w:val="767E7EFF"/>
    <w:rsid w:val="769550C6"/>
    <w:rsid w:val="76FA1DD9"/>
    <w:rsid w:val="775B4604"/>
    <w:rsid w:val="77C067C3"/>
    <w:rsid w:val="77EA64D7"/>
    <w:rsid w:val="78911E31"/>
    <w:rsid w:val="7922350F"/>
    <w:rsid w:val="792B5470"/>
    <w:rsid w:val="79762E65"/>
    <w:rsid w:val="79C637D8"/>
    <w:rsid w:val="79F762D6"/>
    <w:rsid w:val="7A9367CB"/>
    <w:rsid w:val="7AA10DE7"/>
    <w:rsid w:val="7AC34BA7"/>
    <w:rsid w:val="7AF22571"/>
    <w:rsid w:val="7B69224B"/>
    <w:rsid w:val="7BE80F25"/>
    <w:rsid w:val="7C1C35A7"/>
    <w:rsid w:val="7C45431D"/>
    <w:rsid w:val="7C91731B"/>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2023-11-03T16:18:54Z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EAF17918DD704348B61385A92D55832E</vt:lpwstr>
  </property>
</Properties>
</file>